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EDD7" w14:textId="40A42C29" w:rsidR="00396549" w:rsidRPr="007F4423" w:rsidRDefault="00396549" w:rsidP="00441F89">
      <w:pPr>
        <w:spacing w:after="120" w:line="23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4423">
        <w:rPr>
          <w:rFonts w:ascii="Times New Roman" w:hAnsi="Times New Roman"/>
          <w:b/>
          <w:sz w:val="24"/>
          <w:szCs w:val="24"/>
        </w:rPr>
        <w:t>Lisa 3</w:t>
      </w:r>
    </w:p>
    <w:p w14:paraId="2D72C35B" w14:textId="77777777" w:rsidR="00396549" w:rsidRPr="007F4423" w:rsidRDefault="00396549" w:rsidP="00441F89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7E6669CF" w14:textId="792C241F" w:rsidR="00514AF6" w:rsidRPr="007F4423" w:rsidRDefault="00B90906" w:rsidP="00441F89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  <w:r w:rsidRPr="007F4423">
        <w:rPr>
          <w:rFonts w:ascii="Times New Roman" w:hAnsi="Times New Roman"/>
          <w:b/>
          <w:sz w:val="24"/>
          <w:szCs w:val="24"/>
        </w:rPr>
        <w:t>METS</w:t>
      </w:r>
      <w:r w:rsidR="00EC5C2B" w:rsidRPr="007F4423">
        <w:rPr>
          <w:rFonts w:ascii="Times New Roman" w:hAnsi="Times New Roman"/>
          <w:b/>
          <w:sz w:val="24"/>
          <w:szCs w:val="24"/>
        </w:rPr>
        <w:t>AMAJANDUSE SPETSIALIST</w:t>
      </w:r>
      <w:r w:rsidR="00514AF6" w:rsidRPr="007F4423">
        <w:rPr>
          <w:rFonts w:ascii="Times New Roman" w:hAnsi="Times New Roman"/>
          <w:b/>
          <w:sz w:val="24"/>
          <w:szCs w:val="24"/>
        </w:rPr>
        <w:t>I ERIALASE LÕPUEKSAMI JUHEND 2022</w:t>
      </w:r>
    </w:p>
    <w:p w14:paraId="20838359" w14:textId="77777777" w:rsidR="00514AF6" w:rsidRPr="007F4423" w:rsidRDefault="00514AF6" w:rsidP="00441F89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1EBB1648" w14:textId="77777777" w:rsidR="00FC6C7C" w:rsidRPr="007F4423" w:rsidRDefault="00FC6C7C" w:rsidP="00441F89">
      <w:pPr>
        <w:spacing w:after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F4423">
        <w:rPr>
          <w:rFonts w:ascii="Times New Roman" w:hAnsi="Times New Roman"/>
          <w:b/>
          <w:bCs/>
          <w:sz w:val="24"/>
          <w:szCs w:val="24"/>
        </w:rPr>
        <w:t>Sisukord:</w:t>
      </w:r>
    </w:p>
    <w:p w14:paraId="0A528FA4" w14:textId="77777777" w:rsidR="00FC6C7C" w:rsidRPr="007F4423" w:rsidRDefault="00FC6C7C" w:rsidP="00441F89">
      <w:pPr>
        <w:numPr>
          <w:ilvl w:val="0"/>
          <w:numId w:val="30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Üldine informatsioon</w:t>
      </w:r>
    </w:p>
    <w:p w14:paraId="1C5D44FF" w14:textId="77777777" w:rsidR="00FC6C7C" w:rsidRPr="007F4423" w:rsidRDefault="00FC6C7C" w:rsidP="00441F89">
      <w:pPr>
        <w:numPr>
          <w:ilvl w:val="0"/>
          <w:numId w:val="30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Hindamise korraldus</w:t>
      </w:r>
    </w:p>
    <w:p w14:paraId="412CA9E0" w14:textId="77777777" w:rsidR="00FC6C7C" w:rsidRPr="007F4423" w:rsidRDefault="00943075" w:rsidP="00441F89">
      <w:pPr>
        <w:numPr>
          <w:ilvl w:val="0"/>
          <w:numId w:val="30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</w:t>
      </w:r>
      <w:r w:rsidR="00FC6C7C" w:rsidRPr="007F4423">
        <w:rPr>
          <w:rFonts w:ascii="Times New Roman" w:hAnsi="Times New Roman"/>
          <w:sz w:val="24"/>
          <w:szCs w:val="24"/>
        </w:rPr>
        <w:t>amismeetodid ja nende kirjeldus</w:t>
      </w:r>
    </w:p>
    <w:p w14:paraId="697DDBE7" w14:textId="77777777" w:rsidR="00566860" w:rsidRPr="007F4423" w:rsidRDefault="00566860" w:rsidP="00441F89">
      <w:pPr>
        <w:numPr>
          <w:ilvl w:val="0"/>
          <w:numId w:val="30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proofErr w:type="spellStart"/>
      <w:r w:rsidRPr="007F4423">
        <w:rPr>
          <w:rFonts w:ascii="Times New Roman" w:hAnsi="Times New Roman"/>
          <w:sz w:val="24"/>
          <w:szCs w:val="24"/>
        </w:rPr>
        <w:t>Taastõendamine</w:t>
      </w:r>
      <w:proofErr w:type="spellEnd"/>
    </w:p>
    <w:p w14:paraId="1C6A0B7B" w14:textId="77777777" w:rsidR="00FC6C7C" w:rsidRPr="007F4423" w:rsidRDefault="00FC6C7C" w:rsidP="00441F89">
      <w:pPr>
        <w:numPr>
          <w:ilvl w:val="0"/>
          <w:numId w:val="30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Juhised ja vormid hindajale</w:t>
      </w:r>
    </w:p>
    <w:p w14:paraId="2B472A01" w14:textId="77777777" w:rsidR="008D7FCE" w:rsidRPr="007F4423" w:rsidRDefault="008D7FCE" w:rsidP="00441F89">
      <w:pPr>
        <w:pStyle w:val="Loendilik"/>
        <w:numPr>
          <w:ilvl w:val="0"/>
          <w:numId w:val="30"/>
        </w:numPr>
        <w:spacing w:after="12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7F4423">
        <w:rPr>
          <w:rFonts w:ascii="Times New Roman" w:eastAsia="Calibri" w:hAnsi="Times New Roman" w:cs="Times New Roman"/>
          <w:sz w:val="24"/>
          <w:szCs w:val="24"/>
        </w:rPr>
        <w:t>Hindamiskriteeriumid</w:t>
      </w:r>
    </w:p>
    <w:p w14:paraId="6423244E" w14:textId="77777777" w:rsidR="00FC6C7C" w:rsidRPr="007F4423" w:rsidRDefault="00FC6C7C" w:rsidP="00441F89">
      <w:pPr>
        <w:spacing w:after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34AA2A" w14:textId="77777777" w:rsidR="00CC3D2D" w:rsidRPr="007F4423" w:rsidRDefault="00CC3D2D" w:rsidP="00441F89">
      <w:pPr>
        <w:pStyle w:val="Loendilik"/>
        <w:numPr>
          <w:ilvl w:val="0"/>
          <w:numId w:val="37"/>
        </w:num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23">
        <w:rPr>
          <w:rFonts w:ascii="Times New Roman" w:hAnsi="Times New Roman" w:cs="Times New Roman"/>
          <w:b/>
          <w:bCs/>
          <w:sz w:val="24"/>
          <w:szCs w:val="24"/>
        </w:rPr>
        <w:t>Üldine informatsioon</w:t>
      </w:r>
    </w:p>
    <w:p w14:paraId="0670E155" w14:textId="77777777" w:rsidR="00CC3D2D" w:rsidRPr="007F4423" w:rsidRDefault="00ED4176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Juhend</w:t>
      </w:r>
      <w:r w:rsidR="00CC3D2D" w:rsidRPr="007F4423">
        <w:rPr>
          <w:rFonts w:ascii="Times New Roman" w:hAnsi="Times New Roman"/>
          <w:sz w:val="24"/>
          <w:szCs w:val="24"/>
        </w:rPr>
        <w:t xml:space="preserve"> on koostatud </w:t>
      </w:r>
      <w:r w:rsidR="00B90906" w:rsidRPr="007F4423">
        <w:rPr>
          <w:rFonts w:ascii="Times New Roman" w:hAnsi="Times New Roman"/>
          <w:b/>
          <w:sz w:val="24"/>
          <w:szCs w:val="24"/>
        </w:rPr>
        <w:t>Mets</w:t>
      </w:r>
      <w:r w:rsidR="00EC5C2B" w:rsidRPr="007F4423">
        <w:rPr>
          <w:rFonts w:ascii="Times New Roman" w:hAnsi="Times New Roman"/>
          <w:b/>
          <w:sz w:val="24"/>
          <w:szCs w:val="24"/>
        </w:rPr>
        <w:t>amajanduse spetsialist, tase 5</w:t>
      </w:r>
      <w:r w:rsidR="00353BC3" w:rsidRPr="007F4423">
        <w:rPr>
          <w:rFonts w:ascii="Times New Roman" w:hAnsi="Times New Roman"/>
          <w:sz w:val="24"/>
          <w:szCs w:val="24"/>
        </w:rPr>
        <w:t xml:space="preserve"> erialase lõpu</w:t>
      </w:r>
      <w:r w:rsidRPr="007F4423">
        <w:rPr>
          <w:rFonts w:ascii="Times New Roman" w:hAnsi="Times New Roman"/>
          <w:bCs/>
          <w:sz w:val="24"/>
          <w:szCs w:val="24"/>
        </w:rPr>
        <w:t>eksami läbi viimiseks</w:t>
      </w:r>
      <w:r w:rsidR="00CC3D2D" w:rsidRPr="007F4423">
        <w:rPr>
          <w:rFonts w:ascii="Times New Roman" w:hAnsi="Times New Roman"/>
          <w:sz w:val="24"/>
          <w:szCs w:val="24"/>
        </w:rPr>
        <w:t>.</w:t>
      </w:r>
    </w:p>
    <w:p w14:paraId="7C909AEB" w14:textId="77777777" w:rsidR="00CC3D2D" w:rsidRPr="007F4423" w:rsidRDefault="00353BC3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Erialane lõpue</w:t>
      </w:r>
      <w:r w:rsidR="00ED4176" w:rsidRPr="007F4423">
        <w:rPr>
          <w:rFonts w:ascii="Times New Roman" w:hAnsi="Times New Roman"/>
          <w:sz w:val="24"/>
          <w:szCs w:val="24"/>
        </w:rPr>
        <w:t>ksam</w:t>
      </w:r>
      <w:r w:rsidR="00CC3D2D" w:rsidRPr="007F4423">
        <w:rPr>
          <w:rFonts w:ascii="Times New Roman" w:hAnsi="Times New Roman"/>
          <w:sz w:val="24"/>
          <w:szCs w:val="24"/>
        </w:rPr>
        <w:t xml:space="preserve"> viiakse läbi </w:t>
      </w:r>
      <w:r w:rsidR="00ED4176" w:rsidRPr="007F4423">
        <w:rPr>
          <w:rFonts w:ascii="Times New Roman" w:hAnsi="Times New Roman"/>
          <w:sz w:val="24"/>
          <w:szCs w:val="24"/>
        </w:rPr>
        <w:t>hindamiskomisjoni</w:t>
      </w:r>
      <w:r w:rsidR="00CC3D2D" w:rsidRPr="007F4423">
        <w:rPr>
          <w:rFonts w:ascii="Times New Roman" w:hAnsi="Times New Roman"/>
          <w:sz w:val="24"/>
          <w:szCs w:val="24"/>
        </w:rPr>
        <w:t xml:space="preserve"> poolt määratud ajal ja kohas</w:t>
      </w:r>
      <w:r w:rsidR="00B9648D" w:rsidRPr="007F4423">
        <w:rPr>
          <w:rFonts w:ascii="Times New Roman" w:hAnsi="Times New Roman"/>
          <w:sz w:val="24"/>
          <w:szCs w:val="24"/>
        </w:rPr>
        <w:t>,</w:t>
      </w:r>
      <w:r w:rsidR="00ED4176" w:rsidRPr="007F4423">
        <w:rPr>
          <w:rFonts w:ascii="Times New Roman" w:hAnsi="Times New Roman"/>
          <w:sz w:val="24"/>
          <w:szCs w:val="24"/>
        </w:rPr>
        <w:t xml:space="preserve"> neile kelle hariduslik erivajadus ei võimalda sooritada </w:t>
      </w:r>
      <w:r w:rsidRPr="007F4423">
        <w:rPr>
          <w:rFonts w:ascii="Times New Roman" w:hAnsi="Times New Roman"/>
          <w:sz w:val="24"/>
          <w:szCs w:val="24"/>
        </w:rPr>
        <w:t xml:space="preserve">erialast </w:t>
      </w:r>
      <w:r w:rsidR="00ED4176" w:rsidRPr="007F4423">
        <w:rPr>
          <w:rFonts w:ascii="Times New Roman" w:hAnsi="Times New Roman"/>
          <w:sz w:val="24"/>
          <w:szCs w:val="24"/>
        </w:rPr>
        <w:t xml:space="preserve">kutseeksamit või kes ei sooritanud </w:t>
      </w:r>
      <w:r w:rsidRPr="007F4423">
        <w:rPr>
          <w:rFonts w:ascii="Times New Roman" w:hAnsi="Times New Roman"/>
          <w:sz w:val="24"/>
          <w:szCs w:val="24"/>
        </w:rPr>
        <w:t xml:space="preserve">erialast </w:t>
      </w:r>
      <w:r w:rsidR="00ED4176" w:rsidRPr="007F4423">
        <w:rPr>
          <w:rFonts w:ascii="Times New Roman" w:hAnsi="Times New Roman"/>
          <w:sz w:val="24"/>
          <w:szCs w:val="24"/>
        </w:rPr>
        <w:t>kutseeksamit positiivsele tulemusele.</w:t>
      </w:r>
      <w:r w:rsidR="00CC3D2D" w:rsidRPr="007F4423">
        <w:rPr>
          <w:rFonts w:ascii="Times New Roman" w:hAnsi="Times New Roman"/>
          <w:sz w:val="24"/>
          <w:szCs w:val="24"/>
        </w:rPr>
        <w:t xml:space="preserve"> </w:t>
      </w:r>
    </w:p>
    <w:p w14:paraId="52942779" w14:textId="77777777" w:rsidR="00CC3D2D" w:rsidRPr="007F4423" w:rsidRDefault="00CC3D2D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Hinnatakse järgmisi kompetentse:</w:t>
      </w:r>
    </w:p>
    <w:p w14:paraId="62D70339" w14:textId="77777777" w:rsidR="0063447C" w:rsidRPr="007F4423" w:rsidRDefault="00EC5C2B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 xml:space="preserve">B.2.1 Metsamajanduslike tööde planeerimine ja korraldamine </w:t>
      </w:r>
    </w:p>
    <w:p w14:paraId="6DA387AF" w14:textId="77777777" w:rsidR="0063447C" w:rsidRPr="007F4423" w:rsidRDefault="00AB6F31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B.2.</w:t>
      </w:r>
      <w:r w:rsidR="00EC5C2B" w:rsidRPr="007F4423">
        <w:rPr>
          <w:rFonts w:ascii="Times New Roman" w:hAnsi="Times New Roman"/>
          <w:sz w:val="24"/>
          <w:szCs w:val="24"/>
        </w:rPr>
        <w:t>2</w:t>
      </w:r>
      <w:r w:rsidRPr="007F4423">
        <w:rPr>
          <w:rFonts w:ascii="Times New Roman" w:hAnsi="Times New Roman"/>
          <w:sz w:val="24"/>
          <w:szCs w:val="24"/>
        </w:rPr>
        <w:t xml:space="preserve"> </w:t>
      </w:r>
      <w:r w:rsidR="00EC5C2B" w:rsidRPr="007F4423">
        <w:rPr>
          <w:rFonts w:ascii="Times New Roman" w:hAnsi="Times New Roman"/>
          <w:sz w:val="24"/>
          <w:szCs w:val="24"/>
        </w:rPr>
        <w:t>Metsamajanduse spetsialist, tase 5 kutset läbiv kompetents</w:t>
      </w:r>
    </w:p>
    <w:p w14:paraId="4F69EC15" w14:textId="57B831B5" w:rsidR="00ED4176" w:rsidRDefault="00ED4176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Hindamist teostab Luua Metsanduskooli direktori käskkirja kinnitatud hindamiskomisjon, mis koosneb kooli õpetajatest või töötajatest.</w:t>
      </w:r>
      <w:r w:rsidR="00FC6C7C" w:rsidRPr="007F4423">
        <w:rPr>
          <w:rFonts w:ascii="Times New Roman" w:hAnsi="Times New Roman"/>
          <w:sz w:val="24"/>
          <w:szCs w:val="24"/>
        </w:rPr>
        <w:t xml:space="preserve"> Hindamiskomisjon on  vähemalt kolmeliikmeline. </w:t>
      </w:r>
    </w:p>
    <w:p w14:paraId="5057DB92" w14:textId="77777777" w:rsidR="007F4423" w:rsidRPr="007F4423" w:rsidRDefault="007F4423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2C9C9C5" w14:textId="0C0A6ABD" w:rsidR="00ED4176" w:rsidRPr="007F4423" w:rsidRDefault="007F4423" w:rsidP="00441F89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="00FC6C7C" w:rsidRPr="007F4423">
        <w:rPr>
          <w:rFonts w:ascii="Times New Roman" w:hAnsi="Times New Roman"/>
          <w:b/>
          <w:sz w:val="24"/>
          <w:szCs w:val="24"/>
        </w:rPr>
        <w:t>Hindamise korraldus</w:t>
      </w:r>
    </w:p>
    <w:p w14:paraId="424E7C75" w14:textId="77777777" w:rsidR="00FC6C7C" w:rsidRPr="007F4423" w:rsidRDefault="00ED4176" w:rsidP="00441F89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Kooli</w:t>
      </w:r>
      <w:r w:rsidR="00FC6C7C" w:rsidRPr="007F4423">
        <w:rPr>
          <w:rFonts w:ascii="Times New Roman" w:hAnsi="Times New Roman"/>
          <w:sz w:val="24"/>
          <w:szCs w:val="24"/>
        </w:rPr>
        <w:t xml:space="preserve">eksam viiakse läbi eesti keeles. </w:t>
      </w:r>
    </w:p>
    <w:p w14:paraId="580971F0" w14:textId="77777777" w:rsidR="00FC6C7C" w:rsidRPr="007F4423" w:rsidRDefault="00FC6C7C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 xml:space="preserve">Hindamisprotseduuri läbiviimine </w:t>
      </w:r>
      <w:r w:rsidRPr="007F4423">
        <w:rPr>
          <w:rFonts w:ascii="Times New Roman" w:hAnsi="Times New Roman"/>
          <w:sz w:val="24"/>
          <w:szCs w:val="24"/>
        </w:rPr>
        <w:tab/>
      </w:r>
    </w:p>
    <w:p w14:paraId="7D64F16E" w14:textId="77777777" w:rsidR="00375984" w:rsidRPr="007F4423" w:rsidRDefault="00375984" w:rsidP="00441F89">
      <w:pPr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 xml:space="preserve">Praktiliste ülesannete sooritamist juhib hindamiskomisjoni esimees või üks hindamiskomisjoni liige. </w:t>
      </w:r>
    </w:p>
    <w:p w14:paraId="248F02B9" w14:textId="77777777" w:rsidR="00FC6C7C" w:rsidRPr="007F4423" w:rsidRDefault="00FC6C7C" w:rsidP="00441F89">
      <w:pPr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Praktiliste</w:t>
      </w:r>
      <w:r w:rsidR="002921AE" w:rsidRPr="007F4423">
        <w:rPr>
          <w:rFonts w:ascii="Times New Roman" w:hAnsi="Times New Roman"/>
          <w:sz w:val="24"/>
          <w:szCs w:val="24"/>
        </w:rPr>
        <w:t xml:space="preserve"> </w:t>
      </w:r>
      <w:r w:rsidRPr="007F4423">
        <w:rPr>
          <w:rFonts w:ascii="Times New Roman" w:hAnsi="Times New Roman"/>
          <w:sz w:val="24"/>
          <w:szCs w:val="24"/>
        </w:rPr>
        <w:t xml:space="preserve">ülesannete sooritamise aeg lepitakse kokku </w:t>
      </w:r>
      <w:r w:rsidR="00EC5C2B" w:rsidRPr="007F4423">
        <w:rPr>
          <w:rFonts w:ascii="Times New Roman" w:hAnsi="Times New Roman"/>
          <w:sz w:val="24"/>
          <w:szCs w:val="24"/>
        </w:rPr>
        <w:t>mõistliku aja jooksul enne eksami toimumist</w:t>
      </w:r>
      <w:r w:rsidRPr="007F4423">
        <w:rPr>
          <w:rFonts w:ascii="Times New Roman" w:hAnsi="Times New Roman"/>
          <w:sz w:val="24"/>
          <w:szCs w:val="24"/>
        </w:rPr>
        <w:t xml:space="preserve">. </w:t>
      </w:r>
      <w:r w:rsidR="002921AE" w:rsidRPr="007F4423">
        <w:rPr>
          <w:rFonts w:ascii="Times New Roman" w:hAnsi="Times New Roman"/>
          <w:sz w:val="24"/>
          <w:szCs w:val="24"/>
        </w:rPr>
        <w:t>Ülesannete toimumise asukohast teavitatakse</w:t>
      </w:r>
      <w:r w:rsidR="00375984" w:rsidRPr="007F4423">
        <w:rPr>
          <w:rFonts w:ascii="Times New Roman" w:hAnsi="Times New Roman"/>
          <w:sz w:val="24"/>
          <w:szCs w:val="24"/>
        </w:rPr>
        <w:t xml:space="preserve"> taotlejaid</w:t>
      </w:r>
      <w:r w:rsidR="002921AE" w:rsidRPr="007F4423">
        <w:rPr>
          <w:rFonts w:ascii="Times New Roman" w:hAnsi="Times New Roman"/>
          <w:sz w:val="24"/>
          <w:szCs w:val="24"/>
        </w:rPr>
        <w:t xml:space="preserve"> vahetult enne eksami algust.</w:t>
      </w:r>
    </w:p>
    <w:p w14:paraId="1D682D21" w14:textId="77777777" w:rsidR="00375984" w:rsidRPr="007F4423" w:rsidRDefault="00375984" w:rsidP="00441F89">
      <w:pPr>
        <w:pStyle w:val="Loendilik"/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4423">
        <w:rPr>
          <w:rFonts w:ascii="Times New Roman" w:hAnsi="Times New Roman" w:cs="Times New Roman"/>
          <w:sz w:val="24"/>
          <w:szCs w:val="24"/>
        </w:rPr>
        <w:t>Praktilised ülesanded sooritatakse etteantud ajaraamistikus, kirjalike juhiste järgi.</w:t>
      </w:r>
      <w:r w:rsidRPr="007F4423">
        <w:rPr>
          <w:rFonts w:ascii="Times New Roman" w:eastAsia="Calibri" w:hAnsi="Times New Roman" w:cs="Times New Roman"/>
          <w:sz w:val="24"/>
          <w:szCs w:val="24"/>
        </w:rPr>
        <w:t xml:space="preserve"> Taotlejaid instrueeritakse eelnevalt. Taotlejale  antud  ülesannete  sooritamise  ajal  täidavad määratud hindamiskomisjoni  liikmed hindamislehed (vt Lisa 1). </w:t>
      </w:r>
    </w:p>
    <w:p w14:paraId="40980E20" w14:textId="77777777" w:rsidR="00375984" w:rsidRPr="007F4423" w:rsidRDefault="002921AE" w:rsidP="00441F89">
      <w:pPr>
        <w:pStyle w:val="Loendilik"/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4423">
        <w:rPr>
          <w:rFonts w:ascii="Times New Roman" w:hAnsi="Times New Roman" w:cs="Times New Roman"/>
          <w:sz w:val="24"/>
          <w:szCs w:val="24"/>
        </w:rPr>
        <w:t xml:space="preserve">Vestlust </w:t>
      </w:r>
      <w:r w:rsidR="00EF5326" w:rsidRPr="007F4423">
        <w:rPr>
          <w:rFonts w:ascii="Times New Roman" w:hAnsi="Times New Roman" w:cs="Times New Roman"/>
          <w:sz w:val="24"/>
          <w:szCs w:val="24"/>
        </w:rPr>
        <w:t xml:space="preserve">juhib hindamiskomisjoni esimees või üks hindamiskomisjoni liige. </w:t>
      </w:r>
    </w:p>
    <w:p w14:paraId="2462B1E0" w14:textId="77777777" w:rsidR="00EF5326" w:rsidRPr="007F4423" w:rsidRDefault="00943075" w:rsidP="00441F89">
      <w:pPr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Vestlus toimub eeln</w:t>
      </w:r>
      <w:r w:rsidR="00ED4176" w:rsidRPr="007F4423">
        <w:rPr>
          <w:rFonts w:ascii="Times New Roman" w:hAnsi="Times New Roman"/>
          <w:sz w:val="24"/>
          <w:szCs w:val="24"/>
        </w:rPr>
        <w:t>evalt esitatud praktikaaruande</w:t>
      </w:r>
      <w:r w:rsidRPr="007F4423">
        <w:rPr>
          <w:rFonts w:ascii="Times New Roman" w:hAnsi="Times New Roman"/>
          <w:sz w:val="24"/>
          <w:szCs w:val="24"/>
        </w:rPr>
        <w:t xml:space="preserve"> ja praktiliste ülesannete tulemuste põhjal, lisaks on hindamiskomisjonil õi</w:t>
      </w:r>
      <w:r w:rsidR="00375984" w:rsidRPr="007F4423">
        <w:rPr>
          <w:rFonts w:ascii="Times New Roman" w:hAnsi="Times New Roman"/>
          <w:sz w:val="24"/>
          <w:szCs w:val="24"/>
        </w:rPr>
        <w:t>gus kontrollida taotleja metsamajanduslike tööde planeerimise ja korraldamisega seotud</w:t>
      </w:r>
      <w:r w:rsidR="00ED4176" w:rsidRPr="007F4423">
        <w:rPr>
          <w:rFonts w:ascii="Times New Roman" w:hAnsi="Times New Roman"/>
          <w:sz w:val="24"/>
          <w:szCs w:val="24"/>
        </w:rPr>
        <w:t xml:space="preserve"> teadmisi</w:t>
      </w:r>
      <w:r w:rsidR="00375984" w:rsidRPr="007F4423">
        <w:rPr>
          <w:rFonts w:ascii="Times New Roman" w:hAnsi="Times New Roman"/>
          <w:sz w:val="24"/>
          <w:szCs w:val="24"/>
        </w:rPr>
        <w:t xml:space="preserve">. </w:t>
      </w:r>
      <w:r w:rsidRPr="007F4423">
        <w:rPr>
          <w:rFonts w:ascii="Times New Roman" w:hAnsi="Times New Roman"/>
          <w:sz w:val="24"/>
          <w:szCs w:val="24"/>
        </w:rPr>
        <w:t>Taotleja esitab nõuetekohase p</w:t>
      </w:r>
      <w:r w:rsidR="00ED4176" w:rsidRPr="007F4423">
        <w:rPr>
          <w:rFonts w:ascii="Times New Roman" w:hAnsi="Times New Roman"/>
          <w:sz w:val="24"/>
          <w:szCs w:val="24"/>
        </w:rPr>
        <w:t>raktikaaruande</w:t>
      </w:r>
      <w:r w:rsidRPr="007F4423">
        <w:rPr>
          <w:rFonts w:ascii="Times New Roman" w:hAnsi="Times New Roman"/>
          <w:sz w:val="24"/>
          <w:szCs w:val="24"/>
        </w:rPr>
        <w:t xml:space="preserve"> kaks nädalat enne eksami toimumist hindamiskomisjonile tutvumiseks.</w:t>
      </w:r>
      <w:r w:rsidR="00EF5326" w:rsidRPr="007F4423">
        <w:rPr>
          <w:rFonts w:ascii="Times New Roman" w:hAnsi="Times New Roman"/>
          <w:sz w:val="24"/>
          <w:szCs w:val="24"/>
        </w:rPr>
        <w:t xml:space="preserve"> </w:t>
      </w:r>
      <w:r w:rsidR="00375984" w:rsidRPr="007F4423">
        <w:rPr>
          <w:rFonts w:ascii="Times New Roman" w:hAnsi="Times New Roman"/>
          <w:sz w:val="24"/>
          <w:szCs w:val="24"/>
        </w:rPr>
        <w:lastRenderedPageBreak/>
        <w:t xml:space="preserve">Vestlusel täidavad hindamiskomisjoni liikmed käesolevas </w:t>
      </w:r>
      <w:r w:rsidR="00442254" w:rsidRPr="007F4423">
        <w:rPr>
          <w:rFonts w:ascii="Times New Roman" w:hAnsi="Times New Roman"/>
          <w:sz w:val="24"/>
          <w:szCs w:val="24"/>
        </w:rPr>
        <w:t>hindamis</w:t>
      </w:r>
      <w:r w:rsidR="00375984" w:rsidRPr="007F4423">
        <w:rPr>
          <w:rFonts w:ascii="Times New Roman" w:hAnsi="Times New Roman"/>
          <w:sz w:val="24"/>
          <w:szCs w:val="24"/>
        </w:rPr>
        <w:t xml:space="preserve">standardi lisas 1 toodud </w:t>
      </w:r>
      <w:r w:rsidR="00442254" w:rsidRPr="007F4423">
        <w:rPr>
          <w:rFonts w:ascii="Times New Roman" w:hAnsi="Times New Roman"/>
          <w:sz w:val="24"/>
          <w:szCs w:val="24"/>
        </w:rPr>
        <w:t>koondhinnangu lehe</w:t>
      </w:r>
      <w:r w:rsidR="00375984" w:rsidRPr="007F4423">
        <w:rPr>
          <w:rFonts w:ascii="Times New Roman" w:hAnsi="Times New Roman"/>
          <w:sz w:val="24"/>
          <w:szCs w:val="24"/>
        </w:rPr>
        <w:t>.</w:t>
      </w:r>
      <w:r w:rsidR="00EF5326" w:rsidRPr="007F4423">
        <w:rPr>
          <w:rFonts w:ascii="Times New Roman" w:hAnsi="Times New Roman"/>
          <w:sz w:val="24"/>
          <w:szCs w:val="24"/>
        </w:rPr>
        <w:t xml:space="preserve"> </w:t>
      </w:r>
    </w:p>
    <w:p w14:paraId="794EA674" w14:textId="77777777" w:rsidR="000953F9" w:rsidRPr="007F4423" w:rsidRDefault="00FF4792" w:rsidP="00441F89">
      <w:pPr>
        <w:pStyle w:val="Loendilik"/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4423">
        <w:rPr>
          <w:rFonts w:ascii="Times New Roman" w:hAnsi="Times New Roman" w:cs="Times New Roman"/>
          <w:sz w:val="24"/>
          <w:szCs w:val="24"/>
        </w:rPr>
        <w:t>Iga  taotleja  kohta  täidetakse  koondhinnangu leht (vt Lisa 1). Koondhinnang moodustub hindamiskomisjoni liikmete enamushinn</w:t>
      </w:r>
      <w:r w:rsidR="00ED4176" w:rsidRPr="007F4423">
        <w:rPr>
          <w:rFonts w:ascii="Times New Roman" w:hAnsi="Times New Roman" w:cs="Times New Roman"/>
          <w:sz w:val="24"/>
          <w:szCs w:val="24"/>
        </w:rPr>
        <w:t>angu alusel. Hindamise tulemus l</w:t>
      </w:r>
      <w:r w:rsidRPr="007F4423">
        <w:rPr>
          <w:rFonts w:ascii="Times New Roman" w:hAnsi="Times New Roman" w:cs="Times New Roman"/>
          <w:sz w:val="24"/>
          <w:szCs w:val="24"/>
        </w:rPr>
        <w:t>oetakse positiivseks, kui hindamiskomisjoni koondhinnang on positii</w:t>
      </w:r>
      <w:r w:rsidR="00ED4176" w:rsidRPr="007F4423">
        <w:rPr>
          <w:rFonts w:ascii="Times New Roman" w:hAnsi="Times New Roman" w:cs="Times New Roman"/>
          <w:sz w:val="24"/>
          <w:szCs w:val="24"/>
        </w:rPr>
        <w:t xml:space="preserve">vne. </w:t>
      </w:r>
    </w:p>
    <w:p w14:paraId="5954A64D" w14:textId="77777777" w:rsidR="00FC6C7C" w:rsidRPr="007F4423" w:rsidRDefault="000953F9" w:rsidP="00441F89">
      <w:pPr>
        <w:pStyle w:val="Loendilik"/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4423">
        <w:rPr>
          <w:rFonts w:ascii="Times New Roman" w:hAnsi="Times New Roman" w:cs="Times New Roman"/>
          <w:sz w:val="24"/>
          <w:szCs w:val="24"/>
        </w:rPr>
        <w:t>Erialase lõpueksami tulemused sisestab määratud komisjoniliige eksamipäeval ning esitab allkirjastatud protokollid õppekorraldusspetsialistile hiljemalt kahe tööpäeva jooksul.</w:t>
      </w:r>
    </w:p>
    <w:p w14:paraId="1F7CC30C" w14:textId="77777777" w:rsidR="000953F9" w:rsidRPr="007F4423" w:rsidRDefault="000953F9" w:rsidP="00441F89">
      <w:pPr>
        <w:pStyle w:val="Loendilik"/>
        <w:numPr>
          <w:ilvl w:val="0"/>
          <w:numId w:val="3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4423">
        <w:rPr>
          <w:rFonts w:ascii="Times New Roman" w:hAnsi="Times New Roman" w:cs="Times New Roman"/>
          <w:sz w:val="24"/>
          <w:szCs w:val="24"/>
        </w:rPr>
        <w:t>Erialase kutseeksami negatiivse lõpptulemusega sooritanud õpilane sooritab erialasel lõpueksamil neid ülesandeid, mille sooritus oli kutseeksamil negatiivne.</w:t>
      </w:r>
    </w:p>
    <w:p w14:paraId="10536C7E" w14:textId="77777777" w:rsidR="000953F9" w:rsidRPr="007F4423" w:rsidRDefault="000953F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387434D" w14:textId="77777777" w:rsidR="00EE0C40" w:rsidRPr="007F4423" w:rsidRDefault="00EE0C40" w:rsidP="00441F89">
      <w:pPr>
        <w:pStyle w:val="Loendilik"/>
        <w:numPr>
          <w:ilvl w:val="0"/>
          <w:numId w:val="28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23">
        <w:rPr>
          <w:rFonts w:ascii="Times New Roman" w:hAnsi="Times New Roman" w:cs="Times New Roman"/>
          <w:b/>
          <w:sz w:val="24"/>
          <w:szCs w:val="24"/>
        </w:rPr>
        <w:t>Hindamise meetodid ja nende kirjeldus</w:t>
      </w:r>
      <w:r w:rsidR="00575473" w:rsidRPr="007F4423">
        <w:rPr>
          <w:rFonts w:ascii="Times New Roman" w:hAnsi="Times New Roman" w:cs="Times New Roman"/>
          <w:b/>
          <w:sz w:val="24"/>
          <w:szCs w:val="24"/>
        </w:rPr>
        <w:t xml:space="preserve"> esmataotlejale</w:t>
      </w:r>
    </w:p>
    <w:p w14:paraId="172DA888" w14:textId="77777777" w:rsidR="00AB6F31" w:rsidRPr="007F4423" w:rsidRDefault="00442254" w:rsidP="00441F89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F4423">
        <w:rPr>
          <w:rFonts w:ascii="Times New Roman" w:hAnsi="Times New Roman"/>
          <w:b/>
          <w:sz w:val="24"/>
          <w:szCs w:val="24"/>
        </w:rPr>
        <w:t>Praktilised ülesanded</w:t>
      </w:r>
    </w:p>
    <w:p w14:paraId="4DA72ECA" w14:textId="77777777" w:rsidR="00FC6C7C" w:rsidRPr="007F4423" w:rsidRDefault="00FC6C7C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bCs/>
          <w:sz w:val="24"/>
          <w:szCs w:val="24"/>
        </w:rPr>
        <w:t xml:space="preserve">Taotleja tõendab </w:t>
      </w:r>
      <w:r w:rsidR="00442254" w:rsidRPr="007F4423">
        <w:rPr>
          <w:rFonts w:ascii="Times New Roman" w:hAnsi="Times New Roman"/>
          <w:bCs/>
          <w:sz w:val="24"/>
          <w:szCs w:val="24"/>
        </w:rPr>
        <w:t xml:space="preserve">ja näitab ette kompetentse, tööalaseid toiminguid sooritades või tööga seotud probleeme lahendades. Praktilised ülesanded baseeruvad metsamajanduslikel ja –kasvatuslikel teemadel. </w:t>
      </w:r>
      <w:r w:rsidR="00442254" w:rsidRPr="007F4423">
        <w:rPr>
          <w:rFonts w:ascii="Times New Roman" w:hAnsi="Times New Roman"/>
          <w:bCs/>
          <w:i/>
          <w:sz w:val="24"/>
          <w:szCs w:val="24"/>
        </w:rPr>
        <w:t>Näiteks tule</w:t>
      </w:r>
      <w:r w:rsidR="00512773" w:rsidRPr="007F4423">
        <w:rPr>
          <w:rFonts w:ascii="Times New Roman" w:hAnsi="Times New Roman"/>
          <w:bCs/>
          <w:i/>
          <w:sz w:val="24"/>
          <w:szCs w:val="24"/>
        </w:rPr>
        <w:t>b</w:t>
      </w:r>
      <w:r w:rsidR="00442254" w:rsidRPr="007F4423">
        <w:rPr>
          <w:rFonts w:ascii="Times New Roman" w:hAnsi="Times New Roman"/>
          <w:bCs/>
          <w:i/>
          <w:sz w:val="24"/>
          <w:szCs w:val="24"/>
        </w:rPr>
        <w:t xml:space="preserve"> taotlejal planeerida laoplatsi</w:t>
      </w:r>
      <w:r w:rsidR="00014D23" w:rsidRPr="007F4423">
        <w:rPr>
          <w:rFonts w:ascii="Times New Roman" w:hAnsi="Times New Roman"/>
          <w:bCs/>
          <w:i/>
          <w:sz w:val="24"/>
          <w:szCs w:val="24"/>
        </w:rPr>
        <w:t>l sortimentide paigutust vastavalt tootmisülesandele</w:t>
      </w:r>
      <w:r w:rsidR="00442254" w:rsidRPr="007F4423">
        <w:rPr>
          <w:rFonts w:ascii="Times New Roman" w:hAnsi="Times New Roman"/>
          <w:bCs/>
          <w:i/>
          <w:sz w:val="24"/>
          <w:szCs w:val="24"/>
        </w:rPr>
        <w:t xml:space="preserve"> ja hinn</w:t>
      </w:r>
      <w:r w:rsidR="00014D23" w:rsidRPr="007F4423">
        <w:rPr>
          <w:rFonts w:ascii="Times New Roman" w:hAnsi="Times New Roman"/>
          <w:bCs/>
          <w:i/>
          <w:sz w:val="24"/>
          <w:szCs w:val="24"/>
        </w:rPr>
        <w:t>ata tehtud metsamajanduslike tööde kvaliteeti</w:t>
      </w:r>
      <w:r w:rsidR="00014D23" w:rsidRPr="007F4423">
        <w:rPr>
          <w:rFonts w:ascii="Times New Roman" w:hAnsi="Times New Roman"/>
          <w:i/>
          <w:sz w:val="24"/>
          <w:szCs w:val="24"/>
        </w:rPr>
        <w:t>.</w:t>
      </w:r>
    </w:p>
    <w:p w14:paraId="21BADCDE" w14:textId="77777777" w:rsidR="00FC6C7C" w:rsidRPr="007F4423" w:rsidRDefault="00FC6C7C" w:rsidP="00441F89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F4423">
        <w:rPr>
          <w:rFonts w:ascii="Times New Roman" w:hAnsi="Times New Roman"/>
          <w:b/>
          <w:sz w:val="24"/>
          <w:szCs w:val="24"/>
        </w:rPr>
        <w:t>P</w:t>
      </w:r>
      <w:r w:rsidR="000953F9" w:rsidRPr="007F4423">
        <w:rPr>
          <w:rFonts w:ascii="Times New Roman" w:hAnsi="Times New Roman"/>
          <w:b/>
          <w:sz w:val="24"/>
          <w:szCs w:val="24"/>
        </w:rPr>
        <w:t>raktikaaruanne</w:t>
      </w:r>
    </w:p>
    <w:p w14:paraId="18B7F031" w14:textId="77777777" w:rsidR="00FC6C7C" w:rsidRPr="007F4423" w:rsidRDefault="000953F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Õppekava kohane praktikaaruandes</w:t>
      </w:r>
      <w:r w:rsidR="00FC6C7C" w:rsidRPr="007F4423">
        <w:rPr>
          <w:rFonts w:ascii="Times New Roman" w:hAnsi="Times New Roman"/>
          <w:sz w:val="24"/>
          <w:szCs w:val="24"/>
        </w:rPr>
        <w:t xml:space="preserve"> </w:t>
      </w:r>
      <w:r w:rsidRPr="007F4423">
        <w:rPr>
          <w:rFonts w:ascii="Times New Roman" w:hAnsi="Times New Roman"/>
          <w:sz w:val="24"/>
          <w:szCs w:val="24"/>
        </w:rPr>
        <w:t>kajastab nõutud infot ja on vormistatud vastavalt juhendile</w:t>
      </w:r>
      <w:r w:rsidR="00FC6C7C" w:rsidRPr="007F4423">
        <w:rPr>
          <w:rFonts w:ascii="Times New Roman" w:hAnsi="Times New Roman"/>
          <w:sz w:val="24"/>
          <w:szCs w:val="24"/>
        </w:rPr>
        <w:t xml:space="preserve">. </w:t>
      </w:r>
    </w:p>
    <w:p w14:paraId="63863C79" w14:textId="77777777" w:rsidR="009E4D58" w:rsidRPr="007F4423" w:rsidRDefault="009E4D58" w:rsidP="00441F89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F4423">
        <w:rPr>
          <w:rFonts w:ascii="Times New Roman" w:hAnsi="Times New Roman"/>
          <w:b/>
          <w:sz w:val="24"/>
          <w:szCs w:val="24"/>
        </w:rPr>
        <w:t>Vestlus</w:t>
      </w:r>
    </w:p>
    <w:p w14:paraId="2FCAE266" w14:textId="0620EE19" w:rsidR="009E4D58" w:rsidRDefault="009E4D58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Taotlejaga vesteldakse praktiliste ülesannete tulemuste, p</w:t>
      </w:r>
      <w:r w:rsidR="000953F9" w:rsidRPr="007F4423">
        <w:rPr>
          <w:rFonts w:ascii="Times New Roman" w:hAnsi="Times New Roman"/>
          <w:sz w:val="24"/>
          <w:szCs w:val="24"/>
        </w:rPr>
        <w:t>raktikaaruandes</w:t>
      </w:r>
      <w:r w:rsidRPr="007F4423">
        <w:rPr>
          <w:rFonts w:ascii="Times New Roman" w:hAnsi="Times New Roman"/>
          <w:sz w:val="24"/>
          <w:szCs w:val="24"/>
        </w:rPr>
        <w:t xml:space="preserve"> esitatu ning kutsestandardis toodud tegevusnäitajate põhjal. Lisaküsimusi esitatakse metsanduslike baasteadmiste kohta.</w:t>
      </w:r>
    </w:p>
    <w:p w14:paraId="385AF226" w14:textId="77777777" w:rsidR="00A51649" w:rsidRPr="007F4423" w:rsidRDefault="00A5164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131BA92" w14:textId="77777777" w:rsidR="00566860" w:rsidRPr="007F4423" w:rsidRDefault="00566860" w:rsidP="00441F89">
      <w:pPr>
        <w:pStyle w:val="Loendilik1"/>
        <w:numPr>
          <w:ilvl w:val="0"/>
          <w:numId w:val="28"/>
        </w:numPr>
        <w:spacing w:after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F4423">
        <w:rPr>
          <w:rFonts w:ascii="Times New Roman" w:hAnsi="Times New Roman"/>
          <w:b/>
          <w:bCs/>
          <w:sz w:val="24"/>
          <w:szCs w:val="24"/>
        </w:rPr>
        <w:t>Hindamisjuhend hindajale</w:t>
      </w:r>
    </w:p>
    <w:p w14:paraId="6BCF283C" w14:textId="77777777" w:rsidR="00566860" w:rsidRPr="007F4423" w:rsidRDefault="00566860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Enne hindamist tutvuge:</w:t>
      </w:r>
    </w:p>
    <w:p w14:paraId="054784A8" w14:textId="77777777" w:rsidR="00566860" w:rsidRPr="007F4423" w:rsidRDefault="00566860" w:rsidP="00441F89">
      <w:pPr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Metsmajanduse spetsialist, EKR tase 5 kutsestandardiga,</w:t>
      </w:r>
    </w:p>
    <w:p w14:paraId="23B8CD9E" w14:textId="77777777" w:rsidR="00566860" w:rsidRPr="007F4423" w:rsidRDefault="00566860" w:rsidP="00441F89">
      <w:pPr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kompetentsipõhise hindamise mõistete ja põhimõtetega,</w:t>
      </w:r>
    </w:p>
    <w:p w14:paraId="03B4DCCD" w14:textId="77777777" w:rsidR="00566860" w:rsidRPr="007F4423" w:rsidRDefault="000953F9" w:rsidP="00441F89">
      <w:pPr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Metsamajanduse spetsialisti õppekava ning rakenduskavaga</w:t>
      </w:r>
      <w:r w:rsidR="00566860" w:rsidRPr="007F4423">
        <w:rPr>
          <w:rFonts w:ascii="Times New Roman" w:hAnsi="Times New Roman"/>
          <w:sz w:val="24"/>
          <w:szCs w:val="24"/>
        </w:rPr>
        <w:t>,</w:t>
      </w:r>
    </w:p>
    <w:p w14:paraId="4C875301" w14:textId="77777777" w:rsidR="00566860" w:rsidRPr="007F4423" w:rsidRDefault="00566860" w:rsidP="00441F89">
      <w:pPr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hindamise üldise informatsiooniga,</w:t>
      </w:r>
    </w:p>
    <w:p w14:paraId="7E881F7B" w14:textId="77777777" w:rsidR="00566860" w:rsidRPr="007F4423" w:rsidRDefault="00566860" w:rsidP="00441F89">
      <w:pPr>
        <w:pStyle w:val="Loendilik1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</w:t>
      </w:r>
      <w:r w:rsidR="00A57539" w:rsidRPr="007F4423">
        <w:rPr>
          <w:rFonts w:ascii="Times New Roman" w:hAnsi="Times New Roman"/>
          <w:sz w:val="24"/>
          <w:szCs w:val="24"/>
        </w:rPr>
        <w:t xml:space="preserve">skriteeriumidega ja </w:t>
      </w:r>
      <w:r w:rsidRPr="007F4423">
        <w:rPr>
          <w:rFonts w:ascii="Times New Roman" w:hAnsi="Times New Roman"/>
          <w:sz w:val="24"/>
          <w:szCs w:val="24"/>
        </w:rPr>
        <w:t>hindamismeetoditega,</w:t>
      </w:r>
    </w:p>
    <w:p w14:paraId="472CB4E2" w14:textId="77777777" w:rsidR="00566860" w:rsidRPr="007F4423" w:rsidRDefault="00566860" w:rsidP="00441F89">
      <w:pPr>
        <w:pStyle w:val="Loendilik1"/>
        <w:numPr>
          <w:ilvl w:val="0"/>
          <w:numId w:val="7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hindamise korraldusega</w:t>
      </w:r>
      <w:r w:rsidR="00A57539" w:rsidRPr="007F4423">
        <w:rPr>
          <w:rFonts w:ascii="Times New Roman" w:hAnsi="Times New Roman"/>
          <w:sz w:val="24"/>
          <w:szCs w:val="24"/>
        </w:rPr>
        <w:t xml:space="preserve"> ja </w:t>
      </w:r>
      <w:r w:rsidRPr="007F4423">
        <w:rPr>
          <w:rFonts w:ascii="Times New Roman" w:hAnsi="Times New Roman"/>
          <w:sz w:val="24"/>
          <w:szCs w:val="24"/>
        </w:rPr>
        <w:t>hindamisel kasutatavate dokumendivormidega.</w:t>
      </w:r>
    </w:p>
    <w:p w14:paraId="19241E0B" w14:textId="77777777" w:rsidR="00566860" w:rsidRPr="007F4423" w:rsidRDefault="00566860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Hindamise ajal</w:t>
      </w:r>
    </w:p>
    <w:p w14:paraId="19A13A9B" w14:textId="77777777" w:rsidR="00566860" w:rsidRPr="007F4423" w:rsidRDefault="00566860" w:rsidP="00441F89">
      <w:pPr>
        <w:pStyle w:val="Vahedeta1"/>
        <w:numPr>
          <w:ilvl w:val="0"/>
          <w:numId w:val="11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taotleja poolt esitatud dokumentidega,</w:t>
      </w:r>
    </w:p>
    <w:p w14:paraId="5951FF09" w14:textId="77777777" w:rsidR="00566860" w:rsidRPr="007F4423" w:rsidRDefault="00566860" w:rsidP="00441F89">
      <w:pPr>
        <w:pStyle w:val="Vahedeta1"/>
        <w:numPr>
          <w:ilvl w:val="0"/>
          <w:numId w:val="11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 xml:space="preserve">taotleja poolt sooritatud </w:t>
      </w:r>
      <w:r w:rsidR="008D7FCE" w:rsidRPr="007F4423">
        <w:rPr>
          <w:rFonts w:ascii="Times New Roman" w:hAnsi="Times New Roman"/>
          <w:sz w:val="24"/>
          <w:szCs w:val="24"/>
        </w:rPr>
        <w:t>praktiliste ülesannete</w:t>
      </w:r>
      <w:r w:rsidRPr="007F4423">
        <w:rPr>
          <w:rFonts w:ascii="Times New Roman" w:hAnsi="Times New Roman"/>
          <w:sz w:val="24"/>
          <w:szCs w:val="24"/>
        </w:rPr>
        <w:t xml:space="preserve"> tulemustega,</w:t>
      </w:r>
    </w:p>
    <w:p w14:paraId="39B1D4FC" w14:textId="77777777" w:rsidR="00566860" w:rsidRPr="007F4423" w:rsidRDefault="00566860" w:rsidP="00441F89">
      <w:pPr>
        <w:pStyle w:val="Vahedeta1"/>
        <w:numPr>
          <w:ilvl w:val="0"/>
          <w:numId w:val="11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jälgige igat taotlejat praktilises hindamisprotsessis personaalselt,</w:t>
      </w:r>
    </w:p>
    <w:p w14:paraId="7644A3C8" w14:textId="77777777" w:rsidR="00566860" w:rsidRPr="007F4423" w:rsidRDefault="00566860" w:rsidP="00441F89">
      <w:pPr>
        <w:pStyle w:val="Vahedeta1"/>
        <w:numPr>
          <w:ilvl w:val="0"/>
          <w:numId w:val="11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täitke iga taotleja kohta personaalne hindamisvorm,</w:t>
      </w:r>
    </w:p>
    <w:p w14:paraId="424C2080" w14:textId="77777777" w:rsidR="00566860" w:rsidRPr="007F4423" w:rsidRDefault="00566860" w:rsidP="00441F89">
      <w:pPr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esitage vajadusel küsimusi hindamiskriteeriumide täitmise osas,</w:t>
      </w:r>
    </w:p>
    <w:p w14:paraId="7D879740" w14:textId="77777777" w:rsidR="00566860" w:rsidRPr="007F4423" w:rsidRDefault="00566860" w:rsidP="00441F89">
      <w:pPr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hinnake iga hindamiskriteeriumi järgi,</w:t>
      </w:r>
    </w:p>
    <w:p w14:paraId="55C280C3" w14:textId="77777777" w:rsidR="00566860" w:rsidRPr="007F4423" w:rsidRDefault="00566860" w:rsidP="00441F89">
      <w:pPr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lastRenderedPageBreak/>
        <w:t>vormistage hindamistulemus.</w:t>
      </w:r>
    </w:p>
    <w:p w14:paraId="21D2A543" w14:textId="77777777" w:rsidR="00566860" w:rsidRPr="007F4423" w:rsidRDefault="00566860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Hindamise järel</w:t>
      </w:r>
    </w:p>
    <w:p w14:paraId="291ACED0" w14:textId="77777777" w:rsidR="00566860" w:rsidRPr="007F4423" w:rsidRDefault="00566860" w:rsidP="00441F89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andke taotlejale konstruktiivset tagasisidet,</w:t>
      </w:r>
    </w:p>
    <w:p w14:paraId="047CC261" w14:textId="77777777" w:rsidR="00566860" w:rsidRPr="007F4423" w:rsidRDefault="00566860" w:rsidP="00441F89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vormistage hindamistulemus,</w:t>
      </w:r>
    </w:p>
    <w:p w14:paraId="5E027D35" w14:textId="721A9A0D" w:rsidR="00A51649" w:rsidRDefault="00566860" w:rsidP="00441F89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edastage oma ettepanek kutse andmise kohta kutsekomisjonile.</w:t>
      </w:r>
    </w:p>
    <w:p w14:paraId="0194D066" w14:textId="77777777" w:rsidR="00441F89" w:rsidRDefault="00441F89" w:rsidP="00441F89">
      <w:p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760"/>
        <w:gridCol w:w="1015"/>
        <w:gridCol w:w="1472"/>
        <w:gridCol w:w="2647"/>
      </w:tblGrid>
      <w:tr w:rsidR="007F4423" w:rsidRPr="007F4423" w14:paraId="09B871B8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2B443" w14:textId="4A67259B" w:rsidR="006D1397" w:rsidRPr="007F4423" w:rsidRDefault="008019FE" w:rsidP="00441F89">
            <w:pPr>
              <w:pStyle w:val="Loendilik"/>
              <w:numPr>
                <w:ilvl w:val="0"/>
                <w:numId w:val="28"/>
              </w:num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D1397" w:rsidRPr="007F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Tegevusnäitajad ja</w:t>
            </w:r>
            <w:r w:rsidR="003F47CB" w:rsidRPr="007F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397" w:rsidRPr="007F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hindamiskriteer</w:t>
            </w:r>
            <w:r w:rsidR="006D1397" w:rsidRPr="007F4423">
              <w:rPr>
                <w:rFonts w:ascii="Times New Roman" w:hAnsi="Times New Roman" w:cs="Times New Roman"/>
                <w:b/>
                <w:sz w:val="24"/>
                <w:szCs w:val="24"/>
              </w:rPr>
              <w:t>iumid</w:t>
            </w:r>
            <w:r w:rsidR="00F867D5" w:rsidRPr="007F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97" w:rsidRPr="007F4423">
              <w:rPr>
                <w:rFonts w:ascii="Times New Roman" w:hAnsi="Times New Roman" w:cs="Times New Roman"/>
                <w:b/>
                <w:sz w:val="24"/>
                <w:szCs w:val="24"/>
              </w:rPr>
              <w:t>(Lisa 1)</w:t>
            </w:r>
          </w:p>
          <w:p w14:paraId="545A58E3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14:paraId="2910E18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Taotleja nimi:</w:t>
            </w:r>
          </w:p>
        </w:tc>
        <w:tc>
          <w:tcPr>
            <w:tcW w:w="6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96C9D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darkYellow"/>
                <w:lang w:eastAsia="et-EE"/>
              </w:rPr>
            </w:pPr>
          </w:p>
        </w:tc>
      </w:tr>
      <w:tr w:rsidR="007F4423" w:rsidRPr="007F4423" w14:paraId="2242D72F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F598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Hindamise aeg: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AD7BB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000014E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5ED07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Hindamise koht: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32646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28147C9F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ED7D1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Hindajad: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A3589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665B3774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DADE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AECC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71D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4BF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A4D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7F4423" w:rsidRPr="007F4423" w14:paraId="2560DA5B" w14:textId="77777777" w:rsidTr="00441F89">
        <w:trPr>
          <w:trHeight w:val="3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B6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X. Kompetents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98D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319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(KOOND)HINNANG*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DDB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2197038A" w14:textId="77777777" w:rsidTr="00441F89">
        <w:trPr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8D6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X.X Tegevusnäitaja/ Hindamiskriteeriumid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0EC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MEETOD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D01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Soori-tatud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F15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Mitte-sooritatud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305" w14:textId="77777777" w:rsidR="006D1397" w:rsidRPr="007F4423" w:rsidRDefault="006D1397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KOMMENTAAR(ID)**</w:t>
            </w:r>
          </w:p>
        </w:tc>
      </w:tr>
      <w:tr w:rsidR="007F4423" w:rsidRPr="007F4423" w14:paraId="07ABC53B" w14:textId="77777777" w:rsidTr="00441F89">
        <w:trPr>
          <w:trHeight w:val="300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E1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 xml:space="preserve">1. </w:t>
            </w:r>
            <w:r w:rsidR="00512773"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Metsamajanduslike tööde planeerimine ja korraldamine</w:t>
            </w:r>
          </w:p>
        </w:tc>
      </w:tr>
      <w:tr w:rsidR="007F4423" w:rsidRPr="007F4423" w14:paraId="436CE6EA" w14:textId="77777777" w:rsidTr="00441F89">
        <w:trPr>
          <w:trHeight w:val="60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21F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1.1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Planeerib metsauuenduse rajamist, arvestades kehtivaid nõudeid, metsaandmeid ja metsakasvatuslikke põhimõtteid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60D7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</w:t>
            </w:r>
            <w:r w:rsidR="000953F9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raktikaaruanne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CF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FB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BB8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688B5D52" w14:textId="77777777" w:rsidTr="00441F89">
        <w:trPr>
          <w:trHeight w:val="67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7EE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1.2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Korraldab metsauuenduse rajamist, arvestades kehtivaid nõudeid, metsaandmeid ja metsakasvatuslikke põhimõtteid;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408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56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04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BC0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58C2D069" w14:textId="77777777" w:rsidTr="00441F89">
        <w:trPr>
          <w:trHeight w:val="28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1F3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1.3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Hindab tehtud uuendustööde kvaliteeti.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C4FB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F867D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vestlus, p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raktiline ülesanne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286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12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056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4E2811B2" w14:textId="77777777" w:rsidTr="00441F89">
        <w:trPr>
          <w:trHeight w:val="52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3EEF" w14:textId="77777777" w:rsidR="00512773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1.4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Planeerib metsauuenduse hooldamist ja valgustusraiet, arvestades kehtivaid nõudeid, metsaandmeid</w:t>
            </w:r>
          </w:p>
          <w:p w14:paraId="6AF53B27" w14:textId="77777777" w:rsidR="006D1397" w:rsidRPr="007F4423" w:rsidRDefault="00512773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ja metsakasvatuslikke põhimõtteid.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2953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D31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B0C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AE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6C72F595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AD3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5</w:t>
            </w:r>
            <w:r w:rsidR="00512773" w:rsidRPr="007F4423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orraldab metsauuenduse hooldamist ja valgustusraiet, arvestades kehtivaid nõudeid, metsaandmeid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ja metsakasvatuslikke põhimõtteid.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B865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B7E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3E8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AA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524BF7F7" w14:textId="77777777" w:rsidTr="00441F89">
        <w:trPr>
          <w:trHeight w:val="52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51D0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1.6</w:t>
            </w:r>
            <w:r w:rsidR="006D1397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Hindab tehtud metsauuenduse hooldamise ja valgustusraie kvaliteeti.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55A2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F867D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vestlus, praktiline ülesanne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DCC0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4B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1D3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CD726B9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902D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1.7</w:t>
            </w:r>
            <w:r w:rsidR="006D1397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Prognoosib </w:t>
            </w:r>
            <w:proofErr w:type="spellStart"/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takseerandmetest</w:t>
            </w:r>
            <w:proofErr w:type="spellEnd"/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lähtudes ja/või paikvaatluse alusel raiest tulevat puidu sortimenti ja eeldatavat mahtu.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F932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FF284A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vestlus, praktiline ülesanne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DC0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FB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29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4CC7C312" w14:textId="77777777" w:rsidTr="00441F89">
        <w:trPr>
          <w:trHeight w:val="58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5D14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1.8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Planeerib raieid, lähtudes tootmisülesandest ja arvestades kehtivaid nõudeid, metsaandmeid ja metsakasvatuslikke põhimõtteid.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1E2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F17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617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6E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0B66A37A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7A4F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1.9 </w:t>
            </w:r>
            <w:r w:rsidR="00512773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Korraldab raieid, lähtudes tootmisülesandest ja arvestades kehtivaid nõudeid, metsaandmeid ja metsakasvatuslikke põhimõtteid.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EA57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39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28C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DC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1454B60E" w14:textId="77777777" w:rsidTr="00441F89">
        <w:trPr>
          <w:trHeight w:val="282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386A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1.10 Hindab tehtud raiete kvaliteeti.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414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F867D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vestlus, praktiline ülesanne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10E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8A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DC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1B7CAD20" w14:textId="77777777" w:rsidTr="00441F89">
        <w:trPr>
          <w:trHeight w:val="58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120" w14:textId="77777777" w:rsidR="00245D35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1.11 Hindab puidu sortimendi kvaliteeti ja mahtu, lähtudes kvaliteedinõuetest, puidu sortimendi lehest ja mahu</w:t>
            </w:r>
          </w:p>
          <w:p w14:paraId="6B413847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hindamise meetoditest.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E9B7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F867D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vestlus, praktiline ülesanne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D6F1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DA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800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087D6A90" w14:textId="77777777" w:rsidTr="00441F89">
        <w:trPr>
          <w:trHeight w:val="744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7626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1.12 Peab laoarvestust, lähtudes puidu sortimendist, mahust ning laoliikumise kannetest.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5B42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97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E56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CE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52267D55" w14:textId="77777777" w:rsidTr="00441F89">
        <w:trPr>
          <w:trHeight w:val="52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C0B9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 xml:space="preserve">1.13 Planeerib puiduvedu, arvestades ilmaolusid, lähte- ja sihtkohti, laoplatside eripära, </w:t>
            </w:r>
            <w:proofErr w:type="spellStart"/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teedevõrku</w:t>
            </w:r>
            <w:proofErr w:type="spellEnd"/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ja ajalisi ning muid piiranguid.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4BB4" w14:textId="77777777" w:rsidR="006D1397" w:rsidRPr="007F4423" w:rsidRDefault="000953F9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1B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40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6F7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61005FCF" w14:textId="77777777" w:rsidTr="00441F89">
        <w:trPr>
          <w:trHeight w:val="103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0A49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1.14 Korraldab puiduvedu, arvestades ilmaolusid, lähte- ja sihtkohti, laoplatside eripära, </w:t>
            </w:r>
            <w:proofErr w:type="spellStart"/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teedevõrku</w:t>
            </w:r>
            <w:proofErr w:type="spellEnd"/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ja ajalisi ning muid piiranguid.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5547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7EEC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6E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7AC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4D6EEC57" w14:textId="77777777" w:rsidTr="00441F89">
        <w:trPr>
          <w:trHeight w:val="300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6170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2</w:t>
            </w:r>
            <w:r w:rsidR="006D1397"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 xml:space="preserve">. </w:t>
            </w:r>
            <w:r w:rsidRPr="007F4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Metsamajanduse spetsialist, tase 5 kutset läbiv kompetents</w:t>
            </w:r>
          </w:p>
        </w:tc>
      </w:tr>
      <w:tr w:rsidR="007F4423" w:rsidRPr="007F4423" w14:paraId="3D43E6D8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999A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2.1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Töötab eesmärgipäraselt, planeerib oma aega ja tegevusi ning arvestab võimalike muutustega töökorralduses või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ümbritsevates oludes.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742D" w14:textId="77777777" w:rsidR="006D1397" w:rsidRPr="007F4423" w:rsidRDefault="00B9648D" w:rsidP="00441F89">
            <w:pPr>
              <w:spacing w:after="12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3E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903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9F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EFE06C8" w14:textId="77777777" w:rsidTr="00441F89">
        <w:trPr>
          <w:trHeight w:val="499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AE54" w14:textId="77777777" w:rsidR="006D1397" w:rsidRPr="007F4423" w:rsidRDefault="00245D35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Jälgib tähtaegadest ning töö etappidest kinnipidamist.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BFC2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70B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200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2E7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5AADBC96" w14:textId="77777777" w:rsidTr="00441F89">
        <w:trPr>
          <w:trHeight w:val="566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0FB5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</w:t>
            </w:r>
            <w:r w:rsidR="00245D35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3. Vastutab enda ja oma meeskonna tööülesannete täitmise ees.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5F8E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B6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F3E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74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D9C71E5" w14:textId="77777777" w:rsidTr="00441F89">
        <w:trPr>
          <w:trHeight w:val="52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A400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2.4. Osaleb meeskonnatöös ja annab oma panuse ühise tulemuse saavutamiseks.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88836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41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F5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FE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D779AC7" w14:textId="77777777" w:rsidTr="00441F89">
        <w:trPr>
          <w:trHeight w:val="103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2885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2.5. Kasutab ise ja jälgib, et meeskonnaliikmed kasutaksid materjale ja töövahendeid heaperemehelikult ja säästlikult ning töötaksid ettevõtte kasumlikkust järgides.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1575A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3C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9C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FD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2C483D5" w14:textId="77777777" w:rsidTr="00441F89">
        <w:trPr>
          <w:trHeight w:val="52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A10E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2.6. Täiendab ennast tööalaselt, õpib ja omandab uusi oskusi ning töövõtteid, -meetodeid ja -tehnikaid;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46AFB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F14F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A2C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5D9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AB950AA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F97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2.7. Hindab oma töös ettetulevaid ohufaktoreid. Väldib ja ennetab metsa-, 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pinnase- ja keskkonnakahjustuste tekkimist</w:t>
            </w:r>
          </w:p>
          <w:p w14:paraId="4E19FC32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ning võtab</w:t>
            </w:r>
            <w:r w:rsidR="00137D92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kasutusele abinõud riskide maandamiseks. Käitub ohuolukordades (nt metsapõleng) adekvaatselt, annab õnnetusjuhtumi korral vältimatut abi ja kutsub professionaalse abi.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CE9EC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1D1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C0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7A4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27AA39BC" w14:textId="77777777" w:rsidTr="00441F89">
        <w:trPr>
          <w:trHeight w:val="76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6B89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2.8. Langetab kiireid ja selgeid otsuseid ka mittetäieliku info alusel (sh keerulisi ja riski sisaldavad otsused).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688C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D6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B15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AB8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398C2F18" w14:textId="77777777" w:rsidTr="00441F89">
        <w:trPr>
          <w:trHeight w:val="28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A28F" w14:textId="77777777" w:rsidR="006D1397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2.9. Teeb koostööd klientide ja partneritega.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29CE" w14:textId="77777777" w:rsidR="006D1397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  <w:r w:rsidR="002239AB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, vestlus</w:t>
            </w:r>
            <w:r w:rsidR="006D1397"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638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8C6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A3D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7F4423" w:rsidRPr="007F4423" w14:paraId="6E29D816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8C00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2.10. Kasutab oma töös arvutit järgmistes osaoskustes: infotöötlemine, kommunikatsioon ja ohutus iseseisva kasutaja tasemel, sisuloome ja probleemilahendus algaja kasutaja tasemel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C580" w14:textId="77777777" w:rsidR="002239AB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FBF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0D5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B54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7F4423" w:rsidRPr="007F4423" w14:paraId="656ED0AB" w14:textId="77777777" w:rsidTr="00441F89">
        <w:trPr>
          <w:trHeight w:val="78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A446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2.11. Valdab eesti keelt tasemel B2 ja vähemalt ühte võõrkeelt tasemel 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B00" w14:textId="77777777" w:rsidR="002239AB" w:rsidRPr="007F4423" w:rsidRDefault="00B9648D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Praktikaaruanne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C94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1416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688" w14:textId="77777777" w:rsidR="002239AB" w:rsidRPr="007F4423" w:rsidRDefault="002239AB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7F4423" w:rsidRPr="007F4423" w14:paraId="52E68633" w14:textId="77777777" w:rsidTr="00441F89">
        <w:trPr>
          <w:trHeight w:val="525"/>
          <w:jc w:val="center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11FA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* Antud tabel on kasutatav nii taotleja personaalse hindamisvormina kui soovi korral ka koondhinnangu vormistamiseks</w:t>
            </w:r>
          </w:p>
        </w:tc>
      </w:tr>
      <w:tr w:rsidR="003F47CB" w:rsidRPr="007F4423" w14:paraId="4105231A" w14:textId="77777777" w:rsidTr="00441F89">
        <w:trPr>
          <w:trHeight w:val="330"/>
          <w:jc w:val="center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3F52" w14:textId="77777777" w:rsidR="006D1397" w:rsidRPr="007F4423" w:rsidRDefault="006D1397" w:rsidP="00441F89">
            <w:pPr>
              <w:spacing w:after="120" w:line="23" w:lineRule="atLeas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F442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** Mittesooritatud tulemuse korral tuleb koondhinnangu tabelisse kirjutada põhjendus - millega eksiti</w:t>
            </w:r>
          </w:p>
        </w:tc>
      </w:tr>
    </w:tbl>
    <w:p w14:paraId="7D206F16" w14:textId="753F072B" w:rsidR="00F2770F" w:rsidRPr="007F4423" w:rsidRDefault="00F2770F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0BB02EE" w14:textId="7E698B56" w:rsidR="00396549" w:rsidRPr="007F4423" w:rsidRDefault="0039654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Koostaja</w:t>
      </w:r>
    </w:p>
    <w:p w14:paraId="6C991EC0" w14:textId="0C147F72" w:rsidR="00396549" w:rsidRPr="007F4423" w:rsidRDefault="0039654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Tenek Mäekivi</w:t>
      </w:r>
    </w:p>
    <w:p w14:paraId="0969EA3F" w14:textId="7AA7A143" w:rsidR="00396549" w:rsidRPr="007F4423" w:rsidRDefault="00396549" w:rsidP="00441F8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F4423">
        <w:rPr>
          <w:rFonts w:ascii="Times New Roman" w:hAnsi="Times New Roman"/>
          <w:sz w:val="24"/>
          <w:szCs w:val="24"/>
        </w:rPr>
        <w:t>metsamajanduse spetsialisti eriala õppekavahoidja</w:t>
      </w:r>
    </w:p>
    <w:sectPr w:rsidR="00396549" w:rsidRPr="007F4423" w:rsidSect="00FE2F99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8549" w14:textId="77777777" w:rsidR="002B7D68" w:rsidRDefault="002B7D68">
      <w:pPr>
        <w:spacing w:after="0" w:line="240" w:lineRule="auto"/>
      </w:pPr>
      <w:r>
        <w:separator/>
      </w:r>
    </w:p>
  </w:endnote>
  <w:endnote w:type="continuationSeparator" w:id="0">
    <w:p w14:paraId="4CF7140D" w14:textId="77777777" w:rsidR="002B7D68" w:rsidRDefault="002B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988143"/>
      <w:docPartObj>
        <w:docPartGallery w:val="Page Numbers (Bottom of Page)"/>
        <w:docPartUnique/>
      </w:docPartObj>
    </w:sdtPr>
    <w:sdtEndPr/>
    <w:sdtContent>
      <w:p w14:paraId="670B84C8" w14:textId="77777777" w:rsidR="009E31F8" w:rsidRDefault="009E31F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9BD6" w14:textId="77777777" w:rsidR="002B7D68" w:rsidRDefault="002B7D68">
      <w:pPr>
        <w:spacing w:after="0" w:line="240" w:lineRule="auto"/>
      </w:pPr>
      <w:r>
        <w:separator/>
      </w:r>
    </w:p>
  </w:footnote>
  <w:footnote w:type="continuationSeparator" w:id="0">
    <w:p w14:paraId="7D484FA6" w14:textId="77777777" w:rsidR="002B7D68" w:rsidRDefault="002B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2F"/>
      </v:shape>
    </w:pict>
  </w:numPicBullet>
  <w:abstractNum w:abstractNumId="0" w15:restartNumberingAfterBreak="0">
    <w:nsid w:val="02C26D71"/>
    <w:multiLevelType w:val="hybridMultilevel"/>
    <w:tmpl w:val="E7564A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7ED"/>
    <w:multiLevelType w:val="hybridMultilevel"/>
    <w:tmpl w:val="2B388DD4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1E1AD3"/>
    <w:multiLevelType w:val="hybridMultilevel"/>
    <w:tmpl w:val="6B8A1B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24A3"/>
    <w:multiLevelType w:val="hybridMultilevel"/>
    <w:tmpl w:val="6CFED91C"/>
    <w:lvl w:ilvl="0" w:tplc="925EB23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42A3"/>
    <w:multiLevelType w:val="hybridMultilevel"/>
    <w:tmpl w:val="E0FCDF4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62D22"/>
    <w:multiLevelType w:val="hybridMultilevel"/>
    <w:tmpl w:val="6EB4549E"/>
    <w:lvl w:ilvl="0" w:tplc="0425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0597326E"/>
    <w:multiLevelType w:val="hybridMultilevel"/>
    <w:tmpl w:val="C73CD67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86CD1"/>
    <w:multiLevelType w:val="hybridMultilevel"/>
    <w:tmpl w:val="D366A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4F9"/>
    <w:multiLevelType w:val="multilevel"/>
    <w:tmpl w:val="3C12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9F160CD"/>
    <w:multiLevelType w:val="hybridMultilevel"/>
    <w:tmpl w:val="B1A46B06"/>
    <w:lvl w:ilvl="0" w:tplc="0B7C01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1EAF"/>
    <w:multiLevelType w:val="hybridMultilevel"/>
    <w:tmpl w:val="70086D14"/>
    <w:lvl w:ilvl="0" w:tplc="F92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7B1C"/>
    <w:multiLevelType w:val="hybridMultilevel"/>
    <w:tmpl w:val="86945A58"/>
    <w:lvl w:ilvl="0" w:tplc="244CF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4070"/>
    <w:multiLevelType w:val="hybridMultilevel"/>
    <w:tmpl w:val="42F2A70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A2090"/>
    <w:multiLevelType w:val="hybridMultilevel"/>
    <w:tmpl w:val="5540FAE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02EC"/>
    <w:multiLevelType w:val="multilevel"/>
    <w:tmpl w:val="8C040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93005"/>
    <w:multiLevelType w:val="hybridMultilevel"/>
    <w:tmpl w:val="BE729DDC"/>
    <w:lvl w:ilvl="0" w:tplc="D3C6C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AB3"/>
    <w:multiLevelType w:val="hybridMultilevel"/>
    <w:tmpl w:val="409ADC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A49FA"/>
    <w:multiLevelType w:val="hybridMultilevel"/>
    <w:tmpl w:val="D2C6B4FE"/>
    <w:lvl w:ilvl="0" w:tplc="5C721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4F9A"/>
    <w:multiLevelType w:val="hybridMultilevel"/>
    <w:tmpl w:val="47609C1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74E5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7F0CA3"/>
    <w:multiLevelType w:val="hybridMultilevel"/>
    <w:tmpl w:val="8FC04392"/>
    <w:lvl w:ilvl="0" w:tplc="F258BAB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C2463AA"/>
    <w:multiLevelType w:val="hybridMultilevel"/>
    <w:tmpl w:val="54640310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D1D52ED"/>
    <w:multiLevelType w:val="hybridMultilevel"/>
    <w:tmpl w:val="E0A2621C"/>
    <w:lvl w:ilvl="0" w:tplc="5A12CB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0A9371A"/>
    <w:multiLevelType w:val="hybridMultilevel"/>
    <w:tmpl w:val="38E868F0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BE5E5E"/>
    <w:multiLevelType w:val="hybridMultilevel"/>
    <w:tmpl w:val="4D9CEF7E"/>
    <w:lvl w:ilvl="0" w:tplc="042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0FC2534"/>
    <w:multiLevelType w:val="hybridMultilevel"/>
    <w:tmpl w:val="74C4FB84"/>
    <w:lvl w:ilvl="0" w:tplc="99968F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A6106"/>
    <w:multiLevelType w:val="hybridMultilevel"/>
    <w:tmpl w:val="FAAC29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E78C8"/>
    <w:multiLevelType w:val="hybridMultilevel"/>
    <w:tmpl w:val="CB924F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00B6"/>
    <w:multiLevelType w:val="hybridMultilevel"/>
    <w:tmpl w:val="3D66D38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095C"/>
    <w:multiLevelType w:val="hybridMultilevel"/>
    <w:tmpl w:val="812015B2"/>
    <w:lvl w:ilvl="0" w:tplc="04250017">
      <w:start w:val="1"/>
      <w:numFmt w:val="lowerLetter"/>
      <w:lvlText w:val="%1)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C84717D"/>
    <w:multiLevelType w:val="hybridMultilevel"/>
    <w:tmpl w:val="1B42361A"/>
    <w:lvl w:ilvl="0" w:tplc="0425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B4BBF"/>
    <w:multiLevelType w:val="hybridMultilevel"/>
    <w:tmpl w:val="0F2E9868"/>
    <w:lvl w:ilvl="0" w:tplc="07BCF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294FD0"/>
    <w:multiLevelType w:val="hybridMultilevel"/>
    <w:tmpl w:val="94B43508"/>
    <w:lvl w:ilvl="0" w:tplc="EC087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10DA0"/>
    <w:multiLevelType w:val="hybridMultilevel"/>
    <w:tmpl w:val="CCE871FE"/>
    <w:lvl w:ilvl="0" w:tplc="042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297CAE"/>
    <w:multiLevelType w:val="hybridMultilevel"/>
    <w:tmpl w:val="E6BEA45E"/>
    <w:lvl w:ilvl="0" w:tplc="0425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0525025"/>
    <w:multiLevelType w:val="multilevel"/>
    <w:tmpl w:val="BD54E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9" w15:restartNumberingAfterBreak="0">
    <w:nsid w:val="746D3C70"/>
    <w:multiLevelType w:val="hybridMultilevel"/>
    <w:tmpl w:val="C702147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55E55"/>
    <w:multiLevelType w:val="hybridMultilevel"/>
    <w:tmpl w:val="90F20FDC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B70F0"/>
    <w:multiLevelType w:val="hybridMultilevel"/>
    <w:tmpl w:val="EF62045E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6450D7D"/>
    <w:multiLevelType w:val="hybridMultilevel"/>
    <w:tmpl w:val="C548DCDC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40"/>
  </w:num>
  <w:num w:numId="4">
    <w:abstractNumId w:val="22"/>
  </w:num>
  <w:num w:numId="5">
    <w:abstractNumId w:val="14"/>
  </w:num>
  <w:num w:numId="6">
    <w:abstractNumId w:val="38"/>
  </w:num>
  <w:num w:numId="7">
    <w:abstractNumId w:val="43"/>
  </w:num>
  <w:num w:numId="8">
    <w:abstractNumId w:val="18"/>
  </w:num>
  <w:num w:numId="9">
    <w:abstractNumId w:val="17"/>
  </w:num>
  <w:num w:numId="10">
    <w:abstractNumId w:val="12"/>
  </w:num>
  <w:num w:numId="11">
    <w:abstractNumId w:val="42"/>
  </w:num>
  <w:num w:numId="12">
    <w:abstractNumId w:val="4"/>
  </w:num>
  <w:num w:numId="13">
    <w:abstractNumId w:val="6"/>
  </w:num>
  <w:num w:numId="14">
    <w:abstractNumId w:val="34"/>
  </w:num>
  <w:num w:numId="15">
    <w:abstractNumId w:val="30"/>
  </w:num>
  <w:num w:numId="16">
    <w:abstractNumId w:val="41"/>
  </w:num>
  <w:num w:numId="17">
    <w:abstractNumId w:val="1"/>
  </w:num>
  <w:num w:numId="18">
    <w:abstractNumId w:val="15"/>
  </w:num>
  <w:num w:numId="19">
    <w:abstractNumId w:val="9"/>
  </w:num>
  <w:num w:numId="20">
    <w:abstractNumId w:val="32"/>
  </w:num>
  <w:num w:numId="21">
    <w:abstractNumId w:val="27"/>
  </w:num>
  <w:num w:numId="22">
    <w:abstractNumId w:val="7"/>
  </w:num>
  <w:num w:numId="23">
    <w:abstractNumId w:val="25"/>
  </w:num>
  <w:num w:numId="24">
    <w:abstractNumId w:val="31"/>
  </w:num>
  <w:num w:numId="25">
    <w:abstractNumId w:val="24"/>
  </w:num>
  <w:num w:numId="26">
    <w:abstractNumId w:val="21"/>
  </w:num>
  <w:num w:numId="27">
    <w:abstractNumId w:val="23"/>
  </w:num>
  <w:num w:numId="28">
    <w:abstractNumId w:val="3"/>
  </w:num>
  <w:num w:numId="29">
    <w:abstractNumId w:val="28"/>
  </w:num>
  <w:num w:numId="30">
    <w:abstractNumId w:val="33"/>
  </w:num>
  <w:num w:numId="31">
    <w:abstractNumId w:val="13"/>
  </w:num>
  <w:num w:numId="32">
    <w:abstractNumId w:val="0"/>
  </w:num>
  <w:num w:numId="33">
    <w:abstractNumId w:val="16"/>
  </w:num>
  <w:num w:numId="34">
    <w:abstractNumId w:val="36"/>
  </w:num>
  <w:num w:numId="35">
    <w:abstractNumId w:val="11"/>
  </w:num>
  <w:num w:numId="36">
    <w:abstractNumId w:val="19"/>
  </w:num>
  <w:num w:numId="37">
    <w:abstractNumId w:val="10"/>
  </w:num>
  <w:num w:numId="38">
    <w:abstractNumId w:val="39"/>
  </w:num>
  <w:num w:numId="39">
    <w:abstractNumId w:val="20"/>
  </w:num>
  <w:num w:numId="40">
    <w:abstractNumId w:val="26"/>
  </w:num>
  <w:num w:numId="41">
    <w:abstractNumId w:val="37"/>
  </w:num>
  <w:num w:numId="42">
    <w:abstractNumId w:val="5"/>
  </w:num>
  <w:num w:numId="43">
    <w:abstractNumId w:val="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2D"/>
    <w:rsid w:val="00014D23"/>
    <w:rsid w:val="000501F2"/>
    <w:rsid w:val="00060A37"/>
    <w:rsid w:val="000953F9"/>
    <w:rsid w:val="000F1AA6"/>
    <w:rsid w:val="00137D92"/>
    <w:rsid w:val="002012C1"/>
    <w:rsid w:val="0020535B"/>
    <w:rsid w:val="0022360E"/>
    <w:rsid w:val="002239AB"/>
    <w:rsid w:val="00245D35"/>
    <w:rsid w:val="002921AE"/>
    <w:rsid w:val="002B0E30"/>
    <w:rsid w:val="002B7D68"/>
    <w:rsid w:val="002E4C5B"/>
    <w:rsid w:val="00313494"/>
    <w:rsid w:val="00335C29"/>
    <w:rsid w:val="00350402"/>
    <w:rsid w:val="00353BC3"/>
    <w:rsid w:val="003562BC"/>
    <w:rsid w:val="00375984"/>
    <w:rsid w:val="00395AC4"/>
    <w:rsid w:val="00396549"/>
    <w:rsid w:val="003F47CB"/>
    <w:rsid w:val="00410866"/>
    <w:rsid w:val="00441F89"/>
    <w:rsid w:val="00442254"/>
    <w:rsid w:val="00444DC4"/>
    <w:rsid w:val="00512773"/>
    <w:rsid w:val="00514AF6"/>
    <w:rsid w:val="00566860"/>
    <w:rsid w:val="00575473"/>
    <w:rsid w:val="005C6C8A"/>
    <w:rsid w:val="0063447C"/>
    <w:rsid w:val="0064301A"/>
    <w:rsid w:val="006D1397"/>
    <w:rsid w:val="00712933"/>
    <w:rsid w:val="00755F35"/>
    <w:rsid w:val="0077063A"/>
    <w:rsid w:val="007867BD"/>
    <w:rsid w:val="007D3383"/>
    <w:rsid w:val="007F4423"/>
    <w:rsid w:val="008019FE"/>
    <w:rsid w:val="00844560"/>
    <w:rsid w:val="008D7FCE"/>
    <w:rsid w:val="00901DF1"/>
    <w:rsid w:val="009279C3"/>
    <w:rsid w:val="00943075"/>
    <w:rsid w:val="00957933"/>
    <w:rsid w:val="009E31F8"/>
    <w:rsid w:val="009E4D58"/>
    <w:rsid w:val="00A51649"/>
    <w:rsid w:val="00A57539"/>
    <w:rsid w:val="00A77F5F"/>
    <w:rsid w:val="00AB6F31"/>
    <w:rsid w:val="00B67B31"/>
    <w:rsid w:val="00B80ADB"/>
    <w:rsid w:val="00B90696"/>
    <w:rsid w:val="00B90906"/>
    <w:rsid w:val="00B9648D"/>
    <w:rsid w:val="00BC5CE2"/>
    <w:rsid w:val="00BC703F"/>
    <w:rsid w:val="00C50C07"/>
    <w:rsid w:val="00CB552B"/>
    <w:rsid w:val="00CC3D2D"/>
    <w:rsid w:val="00D5465B"/>
    <w:rsid w:val="00D90AAC"/>
    <w:rsid w:val="00D954AE"/>
    <w:rsid w:val="00D97382"/>
    <w:rsid w:val="00E81D16"/>
    <w:rsid w:val="00EA41B4"/>
    <w:rsid w:val="00EC5C2B"/>
    <w:rsid w:val="00ED4176"/>
    <w:rsid w:val="00EE0C40"/>
    <w:rsid w:val="00EF5326"/>
    <w:rsid w:val="00F22A0D"/>
    <w:rsid w:val="00F2770F"/>
    <w:rsid w:val="00F620AE"/>
    <w:rsid w:val="00F867D5"/>
    <w:rsid w:val="00F92754"/>
    <w:rsid w:val="00FC6C7C"/>
    <w:rsid w:val="00FE2F99"/>
    <w:rsid w:val="00FE5203"/>
    <w:rsid w:val="00FF284A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ACCE0"/>
  <w15:docId w15:val="{12CA7EC4-7D67-4115-A2D8-4944463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C3D2D"/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qFormat/>
    <w:rsid w:val="009E3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9E31F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qFormat/>
    <w:rsid w:val="00CC3D2D"/>
    <w:pPr>
      <w:spacing w:after="0" w:line="240" w:lineRule="auto"/>
      <w:ind w:left="720"/>
    </w:pPr>
    <w:rPr>
      <w:rFonts w:eastAsia="Times New Roman"/>
    </w:rPr>
  </w:style>
  <w:style w:type="paragraph" w:styleId="Pis">
    <w:name w:val="header"/>
    <w:basedOn w:val="Normaallaad"/>
    <w:link w:val="PisMrk"/>
    <w:uiPriority w:val="99"/>
    <w:unhideWhenUsed/>
    <w:rsid w:val="00CC3D2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C3D2D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CC3D2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C3D2D"/>
    <w:rPr>
      <w:rFonts w:ascii="Calibri" w:eastAsia="Calibri" w:hAnsi="Calibri" w:cs="Times New Roman"/>
    </w:rPr>
  </w:style>
  <w:style w:type="paragraph" w:customStyle="1" w:styleId="Vahedeta1">
    <w:name w:val="Vahedeta1"/>
    <w:uiPriority w:val="1"/>
    <w:qFormat/>
    <w:rsid w:val="00CC3D2D"/>
    <w:pPr>
      <w:spacing w:after="0" w:line="240" w:lineRule="auto"/>
    </w:pPr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C3D2D"/>
    <w:rPr>
      <w:rFonts w:ascii="Tahoma" w:eastAsia="Calibri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9090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9090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90906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090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0906"/>
    <w:rPr>
      <w:rFonts w:ascii="Calibri" w:eastAsia="Calibri" w:hAnsi="Calibri" w:cs="Times New Roman"/>
      <w:b/>
      <w:bCs/>
      <w:sz w:val="20"/>
      <w:szCs w:val="20"/>
    </w:rPr>
  </w:style>
  <w:style w:type="character" w:styleId="Hperlink">
    <w:name w:val="Hyperlink"/>
    <w:uiPriority w:val="99"/>
    <w:unhideWhenUsed/>
    <w:rsid w:val="00B90906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63447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ealkiri1Mrk">
    <w:name w:val="Pealkiri 1 Märk"/>
    <w:basedOn w:val="Liguvaikefont"/>
    <w:link w:val="Pealkiri1"/>
    <w:rsid w:val="009E31F8"/>
    <w:rPr>
      <w:rFonts w:ascii="Times New Roman" w:eastAsia="Times New Roman" w:hAnsi="Times New Roman" w:cs="Times New Roman"/>
      <w:sz w:val="28"/>
      <w:szCs w:val="24"/>
    </w:rPr>
  </w:style>
  <w:style w:type="character" w:customStyle="1" w:styleId="Pealkiri2Mrk">
    <w:name w:val="Pealkiri 2 Märk"/>
    <w:basedOn w:val="Liguvaikefont"/>
    <w:link w:val="Pealkiri2"/>
    <w:rsid w:val="009E31F8"/>
    <w:rPr>
      <w:rFonts w:ascii="Times New Roman" w:eastAsia="Times New Roman" w:hAnsi="Times New Roman" w:cs="Times New Roman"/>
      <w:sz w:val="28"/>
      <w:szCs w:val="24"/>
    </w:rPr>
  </w:style>
  <w:style w:type="paragraph" w:styleId="Pealkiri">
    <w:name w:val="Title"/>
    <w:basedOn w:val="Normaallaad"/>
    <w:link w:val="PealkiriMrk"/>
    <w:qFormat/>
    <w:rsid w:val="009E31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PealkiriMrk">
    <w:name w:val="Pealkiri Märk"/>
    <w:basedOn w:val="Liguvaikefont"/>
    <w:link w:val="Pealkiri"/>
    <w:rsid w:val="009E31F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Kehatekst">
    <w:name w:val="Body Text"/>
    <w:basedOn w:val="Normaallaad"/>
    <w:link w:val="KehatekstMrk"/>
    <w:rsid w:val="00335C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rsid w:val="00335C29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DD9DCBA82E42B261C9A06C4774EF" ma:contentTypeVersion="10" ma:contentTypeDescription="Create a new document." ma:contentTypeScope="" ma:versionID="1aa19342cb49b89e3330155e23c1b6f3">
  <xsd:schema xmlns:xsd="http://www.w3.org/2001/XMLSchema" xmlns:xs="http://www.w3.org/2001/XMLSchema" xmlns:p="http://schemas.microsoft.com/office/2006/metadata/properties" xmlns:ns3="7247e41a-0216-4dc0-bb7e-a1d41dd8f370" xmlns:ns4="861d749d-fd7a-4bf7-9f20-57992060ec4f" targetNamespace="http://schemas.microsoft.com/office/2006/metadata/properties" ma:root="true" ma:fieldsID="bc86721665f55bdbf8c71cf40ceb952f" ns3:_="" ns4:_="">
    <xsd:import namespace="7247e41a-0216-4dc0-bb7e-a1d41dd8f370"/>
    <xsd:import namespace="861d749d-fd7a-4bf7-9f20-57992060e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e41a-0216-4dc0-bb7e-a1d41dd8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749d-fd7a-4bf7-9f20-57992060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9C94-C060-4485-939E-09E25A72578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7247e41a-0216-4dc0-bb7e-a1d41dd8f37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61d749d-fd7a-4bf7-9f20-57992060ec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17BE1-AA26-45B5-B837-F1942B134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D2D5-DE0D-4BDE-A4CB-7561F308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e41a-0216-4dc0-bb7e-a1d41dd8f370"/>
    <ds:schemaRef ds:uri="861d749d-fd7a-4bf7-9f20-57992060e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A7BC4-69CC-4C41-9256-3B425CF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7372</Characters>
  <Application>Microsoft Office Word</Application>
  <DocSecurity>0</DocSecurity>
  <Lines>61</Lines>
  <Paragraphs>17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Elle Belials</cp:lastModifiedBy>
  <cp:revision>2</cp:revision>
  <dcterms:created xsi:type="dcterms:W3CDTF">2022-10-12T05:18:00Z</dcterms:created>
  <dcterms:modified xsi:type="dcterms:W3CDTF">2022-10-12T05:18:00Z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0x0101005106DD9DCBA82E42B261C9A06C4774EF</vt:lpwstr>
  </property>
</Properties>
</file>